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Maria </w:t>
      </w:r>
      <w:proofErr w:type="spellStart"/>
      <w:r>
        <w:rPr>
          <w:rFonts w:ascii="Calibri" w:eastAsia="Calibri" w:hAnsi="Calibri" w:cs="Calibri"/>
          <w:sz w:val="30"/>
          <w:szCs w:val="30"/>
        </w:rPr>
        <w:t>Stöckerl</w:t>
      </w:r>
      <w:proofErr w:type="spellEnd"/>
      <w:r>
        <w:rPr>
          <w:rFonts w:ascii="Calibri" w:eastAsia="Calibri" w:hAnsi="Calibri" w:cs="Calibri"/>
          <w:sz w:val="30"/>
          <w:szCs w:val="30"/>
        </w:rPr>
        <w:t xml:space="preserve"> aus Tiefenbach erreicht 1,0-Abschluss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sz w:val="30"/>
          <w:szCs w:val="30"/>
        </w:rPr>
      </w:pPr>
    </w:p>
    <w:p w:rsidR="0033343A" w:rsidRDefault="00BB0560">
      <w:pPr>
        <w:pStyle w:val="berschrift2"/>
        <w:spacing w:before="0" w:after="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20"/>
          <w:szCs w:val="20"/>
        </w:rPr>
        <w:t xml:space="preserve">20-jährige aus </w:t>
      </w:r>
      <w:proofErr w:type="spellStart"/>
      <w:r>
        <w:rPr>
          <w:rFonts w:ascii="Calibri" w:eastAsia="Calibri" w:hAnsi="Calibri" w:cs="Calibri"/>
          <w:sz w:val="20"/>
          <w:szCs w:val="20"/>
        </w:rPr>
        <w:t>Irlach</w:t>
      </w:r>
      <w:proofErr w:type="spellEnd"/>
      <w:r w:rsidR="0086390A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 w:rsidR="0086390A">
        <w:rPr>
          <w:rFonts w:ascii="Calibri" w:eastAsia="Calibri" w:hAnsi="Calibri" w:cs="Calibri"/>
          <w:sz w:val="20"/>
          <w:szCs w:val="20"/>
        </w:rPr>
        <w:t>Gemeinde Tiefenbach</w:t>
      </w:r>
      <w:r>
        <w:rPr>
          <w:rFonts w:ascii="Calibri" w:eastAsia="Calibri" w:hAnsi="Calibri" w:cs="Calibri"/>
          <w:sz w:val="20"/>
          <w:szCs w:val="20"/>
        </w:rPr>
        <w:t>)</w:t>
      </w:r>
      <w:r w:rsidR="0086390A">
        <w:rPr>
          <w:rFonts w:ascii="Calibri" w:eastAsia="Calibri" w:hAnsi="Calibri" w:cs="Calibri"/>
          <w:sz w:val="20"/>
          <w:szCs w:val="20"/>
        </w:rPr>
        <w:t xml:space="preserve"> absolviert mit Bestnoten ihre Ausbildung zur Pharmazeutisch-technischen Assistentin (PTA) / Medizinische Schulen Regenstauf verzeichnen steigenden Zulauf an Auszubildenden</w:t>
      </w:r>
      <w:r w:rsidR="008639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6153745</wp:posOffset>
                </wp:positionH>
                <wp:positionV relativeFrom="paragraph">
                  <wp:posOffset>180975</wp:posOffset>
                </wp:positionV>
                <wp:extent cx="961430" cy="1619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369" y="3551400"/>
                          <a:ext cx="2715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343A" w:rsidRDefault="0033343A">
                            <w:pPr>
                              <w:jc w:val="right"/>
                              <w:textDirection w:val="btLr"/>
                            </w:pPr>
                          </w:p>
                          <w:p w:rsidR="0033343A" w:rsidRDefault="0033343A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lIns="0" tIns="0" rIns="6840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484.55pt;margin-top:14.25pt;width:75.7pt;height:12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" stroked="f">
                <v:textbox inset="0,0,1.9mm,0">
                  <w:txbxContent>
                    <w:p w:rsidR="0033343A" w:rsidRDefault="0033343A">
                      <w:pPr>
                        <w:jc w:val="right"/>
                        <w:textDirection w:val="btLr"/>
                      </w:pPr>
                    </w:p>
                    <w:p w:rsidR="0033343A" w:rsidRDefault="0033343A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Regenstauf.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Cremés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 mischen, Tablett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en herstellen, Tinkturen zubereiten: „Nach meinem Abi war das mein großes Ziel“, sagt Maria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>. Sie entschied sich bewusst gegen ein Studium und für eine Ausbildung zur Pharmazeutisch-technischen Assistentin bei den Eckert Schulen Regenstauf. Die ric</w:t>
      </w:r>
      <w:r>
        <w:rPr>
          <w:rFonts w:ascii="Calibri" w:eastAsia="Calibri" w:hAnsi="Calibri" w:cs="Calibri"/>
          <w:b w:val="0"/>
          <w:sz w:val="20"/>
          <w:szCs w:val="20"/>
        </w:rPr>
        <w:t>htige Wahl, wie sich herausstellte: Für einen Traumabschluss mit einer Gesamtdurchschnittsnote von 1,0 erhielt die 20-jährige jetzt den Eckert-Preis über 500 Euro.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sz w:val="20"/>
          <w:szCs w:val="20"/>
        </w:rPr>
        <w:t xml:space="preserve">Auf den Geschmack gekommen ist Maria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 bereits als Schülerin, durch ein Schnupperpra</w:t>
      </w:r>
      <w:r>
        <w:rPr>
          <w:rFonts w:ascii="Calibri" w:eastAsia="Calibri" w:hAnsi="Calibri" w:cs="Calibri"/>
          <w:b w:val="0"/>
          <w:sz w:val="20"/>
          <w:szCs w:val="20"/>
        </w:rPr>
        <w:t>ktikum in einer Apotheke. Der Berufsinfotag der Eckert Schulen hat ihren Beschluss nur bestärkt: „Das Galenik-Labor der Schule hat mich besonders beeindruckt.“ Damit war die Entscheidung schnell getroffen, im September 2015 fiel für sie der Startschuss zur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 PTA-Ausbildung. Von Tiefenbach nach Regenstauf: Ein weiter Weg, doch der Campus der Eckert Schulen bietet neben komfortablen Appartements auch zahlreiche Freizeitmöglichkeiten: „Im Sommer ist der Eckert Beach natürlich klasse und im Winter ging es dann eh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er ins Fitnessstudio“, sagt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>.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sz w:val="20"/>
          <w:szCs w:val="20"/>
        </w:rPr>
        <w:t xml:space="preserve">„Ich habe die zwei Jahre also nicht nur gelernt“, lacht die 20-jährige. Trotzdem: Wer am Ende ein derart makelloses Abschlusszeugnis in den Händen halten will, braucht viel Sitzfleisch, Willenskraft und nicht zuletzt </w:t>
      </w:r>
      <w:r>
        <w:rPr>
          <w:rFonts w:ascii="Calibri" w:eastAsia="Calibri" w:hAnsi="Calibri" w:cs="Calibri"/>
          <w:b w:val="0"/>
          <w:sz w:val="20"/>
          <w:szCs w:val="20"/>
        </w:rPr>
        <w:t>Leidenschaft für den PTA-Beruf. In Sachen Unterricht war die 20-jährige besonders vom Fach Botanik angetan. „Beim Spazierengehen entdecke ich oft Pflanzen am Straßenrand und mir schießen sofort Details zu Wirkweisen und Verwendungszwecken in den Kopf“, sag</w:t>
      </w:r>
      <w:r>
        <w:rPr>
          <w:rFonts w:ascii="Calibri" w:eastAsia="Calibri" w:hAnsi="Calibri" w:cs="Calibri"/>
          <w:b w:val="0"/>
          <w:sz w:val="20"/>
          <w:szCs w:val="20"/>
        </w:rPr>
        <w:t>t sie begeistert. „Wirkstoffe und Nebenwirkungen verschiedener Medikamente haben mich schon immer interessiert.“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 w:val="0"/>
          <w:sz w:val="20"/>
          <w:szCs w:val="20"/>
        </w:rPr>
        <w:t xml:space="preserve">Den Lehrgang an der Regenstaufer PTA-Schule mit Bestnoten abgeschlossen, absolviert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 momentan ihren zweiten Ausbildungsabschnitt: Ein 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halbjähriges Praktikum in einer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Oberviechtacher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 Apotheke. „Ich habe gerade erst angefangen, momentan habe ich vorwiegend kaufmännische Aufgaben“, so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, „nach und nach baue ich nun darauf auf“, sagt sie. Maria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 freut sich besonders auf den Ku</w:t>
      </w:r>
      <w:r>
        <w:rPr>
          <w:rFonts w:ascii="Calibri" w:eastAsia="Calibri" w:hAnsi="Calibri" w:cs="Calibri"/>
          <w:b w:val="0"/>
          <w:sz w:val="20"/>
          <w:szCs w:val="20"/>
        </w:rPr>
        <w:t>ndenkontakt: „Ich will Menschen beraten, ihnen bei Problemen zur Seite stehen – und natürlich am besten die Medikamente selbst im Labor herstellen.“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sz w:val="20"/>
          <w:szCs w:val="20"/>
        </w:rPr>
        <w:t xml:space="preserve">Während sich </w:t>
      </w:r>
      <w:proofErr w:type="spellStart"/>
      <w:r>
        <w:rPr>
          <w:rFonts w:ascii="Calibri" w:eastAsia="Calibri" w:hAnsi="Calibri" w:cs="Calibri"/>
          <w:b w:val="0"/>
          <w:sz w:val="20"/>
          <w:szCs w:val="20"/>
        </w:rPr>
        <w:t>Stöckerl</w:t>
      </w:r>
      <w:proofErr w:type="spellEnd"/>
      <w:r>
        <w:rPr>
          <w:rFonts w:ascii="Calibri" w:eastAsia="Calibri" w:hAnsi="Calibri" w:cs="Calibri"/>
          <w:b w:val="0"/>
          <w:sz w:val="20"/>
          <w:szCs w:val="20"/>
        </w:rPr>
        <w:t xml:space="preserve"> auf neue, spannende Aufgaben freut, starten im September 2017 erneut zahlreiche Erst</w:t>
      </w:r>
      <w:r>
        <w:rPr>
          <w:rFonts w:ascii="Calibri" w:eastAsia="Calibri" w:hAnsi="Calibri" w:cs="Calibri"/>
          <w:b w:val="0"/>
          <w:sz w:val="20"/>
          <w:szCs w:val="20"/>
        </w:rPr>
        <w:t>semester in ihre PTA-Ausbildung. „Unsere Schülerzahlen steigen und die Absolventen sind am Arbeitsmarkt so beliebt wie nie“, sagt Antonie Roggenbuck. Der Grund ist simpel: Die Regenstaufer PTA-Schule sieht sich gegenüber Schülern und Arbeitgebern gleicherm</w:t>
      </w:r>
      <w:r>
        <w:rPr>
          <w:rFonts w:ascii="Calibri" w:eastAsia="Calibri" w:hAnsi="Calibri" w:cs="Calibri"/>
          <w:b w:val="0"/>
          <w:sz w:val="20"/>
          <w:szCs w:val="20"/>
        </w:rPr>
        <w:t>aßen in der Pflicht. So bietet die Schulleiterin ihren Teilnehmern neben einer fundierten fachtheoretischen Ausbildung attraktive Kontakte zu potentiellen Arbeitgebern. Moderne Praxislabore, Freizeit- und Wohnmöglichkeiten direkt am Campus-Gelände runden d</w:t>
      </w:r>
      <w:r>
        <w:rPr>
          <w:rFonts w:ascii="Calibri" w:eastAsia="Calibri" w:hAnsi="Calibri" w:cs="Calibri"/>
          <w:b w:val="0"/>
          <w:sz w:val="20"/>
          <w:szCs w:val="20"/>
        </w:rPr>
        <w:t>as einmalige Ausbildungskonzept ab.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Weitere Informationen zum Ausbildungsangebot der Medizinischen Schulen Regenstauf bei Sabine Wieder unter Telefon (09402) 502-556, per E-Mail unter 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ausbildung@ecker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t-schulen.de</w:t>
        </w:r>
      </w:hyperlink>
      <w:r>
        <w:rPr>
          <w:rFonts w:ascii="Calibri" w:eastAsia="Calibri" w:hAnsi="Calibri" w:cs="Calibri"/>
          <w:sz w:val="20"/>
          <w:szCs w:val="20"/>
        </w:rPr>
        <w:t xml:space="preserve"> oder im Internet unter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www.eckert-schulen.de/ausbildung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sz w:val="20"/>
          <w:szCs w:val="20"/>
        </w:rPr>
      </w:pP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sz w:val="20"/>
          <w:szCs w:val="20"/>
        </w:rPr>
      </w:pPr>
    </w:p>
    <w:p w:rsidR="00BB0560" w:rsidRPr="00BB0560" w:rsidRDefault="00BB0560" w:rsidP="00BB0560"/>
    <w:p w:rsidR="0033343A" w:rsidRDefault="00BB0560">
      <w:pPr>
        <w:pStyle w:val="berschrift2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BU</w:t>
      </w:r>
    </w:p>
    <w:p w:rsidR="00BB0560" w:rsidRPr="00BB0560" w:rsidRDefault="00BB0560" w:rsidP="00BB0560">
      <w:pPr>
        <w:rPr>
          <w:rFonts w:ascii="Calibri" w:eastAsia="Calibri" w:hAnsi="Calibri" w:cs="Calibri"/>
          <w:b/>
        </w:rPr>
      </w:pPr>
      <w:r w:rsidRPr="00BB0560">
        <w:rPr>
          <w:rFonts w:ascii="Calibri" w:eastAsia="Calibri" w:hAnsi="Calibri" w:cs="Calibri"/>
          <w:b/>
        </w:rPr>
        <w:t xml:space="preserve">Stolz nimmt Maria </w:t>
      </w:r>
      <w:proofErr w:type="spellStart"/>
      <w:r w:rsidRPr="00BB0560">
        <w:rPr>
          <w:rFonts w:ascii="Calibri" w:eastAsia="Calibri" w:hAnsi="Calibri" w:cs="Calibri"/>
          <w:b/>
        </w:rPr>
        <w:t>Stöckerl</w:t>
      </w:r>
      <w:proofErr w:type="spellEnd"/>
      <w:r w:rsidRPr="00BB0560">
        <w:rPr>
          <w:rFonts w:ascii="Calibri" w:eastAsia="Calibri" w:hAnsi="Calibri" w:cs="Calibri"/>
          <w:b/>
        </w:rPr>
        <w:t xml:space="preserve"> den Eckert-Preis für ihren 1,0-Traumabschluss entgegen. Die frischgebackene Pharmazeutisch-technische Assistentin (PTA) freut sich besonders auf die Beratung von Kunden</w:t>
      </w:r>
    </w:p>
    <w:p w:rsidR="00BB0560" w:rsidRPr="00BB0560" w:rsidRDefault="00BB0560" w:rsidP="00BB0560">
      <w:bookmarkStart w:id="1" w:name="_GoBack"/>
      <w:bookmarkEnd w:id="1"/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sz w:val="20"/>
          <w:szCs w:val="20"/>
        </w:rPr>
      </w:pP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sz w:val="20"/>
          <w:szCs w:val="20"/>
        </w:rPr>
      </w:pP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p w:rsidR="0033343A" w:rsidRDefault="0086390A">
      <w:pPr>
        <w:pStyle w:val="berschrift2"/>
        <w:spacing w:before="0" w:after="0"/>
        <w:rPr>
          <w:rFonts w:ascii="Calibri" w:eastAsia="Calibri" w:hAnsi="Calibri" w:cs="Calibri"/>
          <w:b w:val="0"/>
          <w:sz w:val="22"/>
          <w:szCs w:val="22"/>
          <w:u w:val="single"/>
        </w:rPr>
      </w:pPr>
      <w:r>
        <w:rPr>
          <w:rFonts w:ascii="Calibri" w:eastAsia="Calibri" w:hAnsi="Calibri" w:cs="Calibri"/>
          <w:b w:val="0"/>
          <w:sz w:val="22"/>
          <w:szCs w:val="22"/>
          <w:u w:val="single"/>
        </w:rPr>
        <w:t>Pressekontakt:</w:t>
      </w:r>
    </w:p>
    <w:p w:rsidR="0033343A" w:rsidRDefault="0086390A">
      <w:pPr>
        <w:ind w:right="25"/>
        <w:jc w:val="both"/>
        <w:rPr>
          <w:rFonts w:ascii="Calibri" w:eastAsia="Calibri" w:hAnsi="Calibri" w:cs="Calibri"/>
          <w:sz w:val="18"/>
          <w:szCs w:val="18"/>
        </w:rPr>
      </w:pPr>
      <w:bookmarkStart w:id="2" w:name="30j0zll" w:colFirst="0" w:colLast="0"/>
      <w:bookmarkEnd w:id="2"/>
      <w:r>
        <w:rPr>
          <w:rFonts w:ascii="Calibri" w:eastAsia="Calibri" w:hAnsi="Calibri" w:cs="Calibri"/>
          <w:sz w:val="18"/>
          <w:szCs w:val="18"/>
        </w:rPr>
        <w:t>Dr. Robert Eckert Schulen AG</w:t>
      </w:r>
    </w:p>
    <w:p w:rsidR="0033343A" w:rsidRDefault="0086390A">
      <w:pPr>
        <w:ind w:right="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Dr.-Robert-Eckert-Str. 3, 93128 Regenstauf</w:t>
      </w:r>
    </w:p>
    <w:p w:rsidR="0033343A" w:rsidRDefault="0086390A">
      <w:pPr>
        <w:ind w:right="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Telefon: +49 (9402) 502-480, Telefax: +49 (9402) 502-6480</w:t>
      </w:r>
    </w:p>
    <w:p w:rsidR="0033343A" w:rsidRDefault="0086390A">
      <w:pPr>
        <w:ind w:right="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E-Mail: </w:t>
      </w:r>
      <w:hyperlink r:id="rId8">
        <w:r>
          <w:rPr>
            <w:rFonts w:ascii="Calibri" w:eastAsia="Calibri" w:hAnsi="Calibri" w:cs="Calibri"/>
            <w:u w:val="single"/>
          </w:rPr>
          <w:t>andrea.radlbeck@eckert-schulen.de</w:t>
        </w:r>
      </w:hyperlink>
    </w:p>
    <w:p w:rsidR="0033343A" w:rsidRDefault="0086390A">
      <w:pPr>
        <w:ind w:right="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Web: www.eckert-schulen.de </w:t>
      </w:r>
    </w:p>
    <w:p w:rsidR="0033343A" w:rsidRDefault="0086390A">
      <w:pPr>
        <w:spacing w:before="80"/>
        <w:ind w:right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  <w:r>
        <w:t xml:space="preserve"> </w:t>
      </w:r>
    </w:p>
    <w:p w:rsidR="0033343A" w:rsidRDefault="0086390A">
      <w:pPr>
        <w:spacing w:before="80"/>
        <w:ind w:right="432"/>
        <w:jc w:val="both"/>
        <w:rPr>
          <w:rFonts w:ascii="Calibri" w:eastAsia="Calibri" w:hAnsi="Calibri" w:cs="Calibri"/>
          <w:sz w:val="18"/>
          <w:szCs w:val="18"/>
        </w:rPr>
      </w:pPr>
      <w:bookmarkStart w:id="3" w:name="1fob9te" w:colFirst="0" w:colLast="0"/>
      <w:bookmarkStart w:id="4" w:name="3znysh7" w:colFirst="0" w:colLast="0"/>
      <w:bookmarkEnd w:id="3"/>
      <w:bookmarkEnd w:id="4"/>
      <w:r>
        <w:rPr>
          <w:rFonts w:ascii="Calibri" w:eastAsia="Calibri" w:hAnsi="Calibri" w:cs="Calibri"/>
          <w:sz w:val="18"/>
          <w:szCs w:val="18"/>
        </w:rPr>
        <w:t>Die Eckert Schulen sind eines d</w:t>
      </w:r>
      <w:r>
        <w:rPr>
          <w:rFonts w:ascii="Calibri" w:eastAsia="Calibri" w:hAnsi="Calibri" w:cs="Calibri"/>
          <w:sz w:val="18"/>
          <w:szCs w:val="18"/>
        </w:rPr>
        <w:t>er führenden privaten Unternehmen für berufliche Bildung, Weiterbildung und Rehabilitation in Deutschland. In der 70-jährigen Firmengeschichte haben rund 100.000 Menschen einen erfolgreichen Abschluss und damit bessere berufliche Perspektiven erreicht. Die</w:t>
      </w:r>
      <w:r>
        <w:rPr>
          <w:rFonts w:ascii="Calibri" w:eastAsia="Calibri" w:hAnsi="Calibri" w:cs="Calibri"/>
          <w:sz w:val="18"/>
          <w:szCs w:val="18"/>
        </w:rPr>
        <w:t xml:space="preserve"> Eckert Schulen tragen dazu bei, dass möglichst viele eine qualifizierte Aus- und Weiterbildung erhalten. Das Bildungskonzept „Eckert 360 Grad“ stimmt die unterschiedlichen Lebenskonzepte mit den angestrebten Berufswünschen lückenlos und maßgeschneidert au</w:t>
      </w:r>
      <w:r>
        <w:rPr>
          <w:rFonts w:ascii="Calibri" w:eastAsia="Calibri" w:hAnsi="Calibri" w:cs="Calibri"/>
          <w:sz w:val="18"/>
          <w:szCs w:val="18"/>
        </w:rPr>
        <w:t>feinander ab. Die flexible Kursgestaltung, eine praxisnahe Ausbildung und ein herausragendes technisches Know-how sorgen für eine Erfolgsquote von bis zu 100% und öffnen Türen zu attraktiven Arbeitgebern.</w:t>
      </w:r>
    </w:p>
    <w:p w:rsidR="0033343A" w:rsidRDefault="0033343A">
      <w:pPr>
        <w:pStyle w:val="berschrift2"/>
        <w:spacing w:before="0" w:after="0"/>
        <w:rPr>
          <w:rFonts w:ascii="Calibri" w:eastAsia="Calibri" w:hAnsi="Calibri" w:cs="Calibri"/>
          <w:b w:val="0"/>
          <w:sz w:val="20"/>
          <w:szCs w:val="20"/>
        </w:rPr>
      </w:pPr>
    </w:p>
    <w:sectPr w:rsidR="0033343A">
      <w:footerReference w:type="default" r:id="rId9"/>
      <w:headerReference w:type="first" r:id="rId10"/>
      <w:footerReference w:type="first" r:id="rId11"/>
      <w:pgSz w:w="11906" w:h="16838"/>
      <w:pgMar w:top="3828" w:right="1134" w:bottom="1134" w:left="13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390A">
      <w:r>
        <w:separator/>
      </w:r>
    </w:p>
  </w:endnote>
  <w:endnote w:type="continuationSeparator" w:id="0">
    <w:p w:rsidR="00000000" w:rsidRDefault="0086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A" w:rsidRDefault="0033343A">
    <w:pPr>
      <w:widowControl w:val="0"/>
      <w:spacing w:line="276" w:lineRule="auto"/>
      <w:rPr>
        <w:rFonts w:ascii="Calibri" w:eastAsia="Calibri" w:hAnsi="Calibri" w:cs="Calibri"/>
      </w:rPr>
    </w:pPr>
  </w:p>
  <w:tbl>
    <w:tblPr>
      <w:tblStyle w:val="a"/>
      <w:tblW w:w="10435" w:type="dxa"/>
      <w:tblInd w:w="0" w:type="dxa"/>
      <w:tblLayout w:type="fixed"/>
      <w:tblLook w:val="0000" w:firstRow="0" w:lastRow="0" w:firstColumn="0" w:lastColumn="0" w:noHBand="0" w:noVBand="0"/>
    </w:tblPr>
    <w:tblGrid>
      <w:gridCol w:w="10435"/>
    </w:tblGrid>
    <w:tr w:rsidR="0033343A">
      <w:tc>
        <w:tcPr>
          <w:tcW w:w="10435" w:type="dxa"/>
        </w:tcPr>
        <w:p w:rsidR="0033343A" w:rsidRDefault="0086390A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01593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01593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  <w:tr w:rsidR="0033343A">
      <w:tc>
        <w:tcPr>
          <w:tcW w:w="10435" w:type="dxa"/>
        </w:tcPr>
        <w:p w:rsidR="0033343A" w:rsidRDefault="0033343A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</w:tbl>
  <w:p w:rsidR="0033343A" w:rsidRDefault="0033343A">
    <w:pPr>
      <w:tabs>
        <w:tab w:val="center" w:pos="4536"/>
        <w:tab w:val="right" w:pos="9072"/>
      </w:tabs>
      <w:spacing w:after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A" w:rsidRDefault="0033343A">
    <w:pPr>
      <w:widowControl w:val="0"/>
      <w:spacing w:line="276" w:lineRule="auto"/>
    </w:pPr>
  </w:p>
  <w:tbl>
    <w:tblPr>
      <w:tblStyle w:val="a0"/>
      <w:tblW w:w="10435" w:type="dxa"/>
      <w:tblInd w:w="0" w:type="dxa"/>
      <w:tblLayout w:type="fixed"/>
      <w:tblLook w:val="0000" w:firstRow="0" w:lastRow="0" w:firstColumn="0" w:lastColumn="0" w:noHBand="0" w:noVBand="0"/>
    </w:tblPr>
    <w:tblGrid>
      <w:gridCol w:w="10435"/>
    </w:tblGrid>
    <w:tr w:rsidR="0033343A">
      <w:tc>
        <w:tcPr>
          <w:tcW w:w="10435" w:type="dxa"/>
        </w:tcPr>
        <w:p w:rsidR="0033343A" w:rsidRDefault="0086390A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01593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01593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  <w:tr w:rsidR="0033343A">
      <w:tc>
        <w:tcPr>
          <w:tcW w:w="10435" w:type="dxa"/>
        </w:tcPr>
        <w:p w:rsidR="0033343A" w:rsidRDefault="0033343A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</w:tbl>
  <w:p w:rsidR="0033343A" w:rsidRDefault="0033343A">
    <w:pPr>
      <w:tabs>
        <w:tab w:val="center" w:pos="4536"/>
        <w:tab w:val="right" w:pos="9072"/>
      </w:tabs>
      <w:spacing w:after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390A">
      <w:r>
        <w:separator/>
      </w:r>
    </w:p>
  </w:footnote>
  <w:footnote w:type="continuationSeparator" w:id="0">
    <w:p w:rsidR="00000000" w:rsidRDefault="0086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A" w:rsidRDefault="0086390A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3670300</wp:posOffset>
              </wp:positionH>
              <wp:positionV relativeFrom="paragraph">
                <wp:posOffset>1968500</wp:posOffset>
              </wp:positionV>
              <wp:extent cx="2717800" cy="16510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7" y="3701260"/>
                        <a:ext cx="2714624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lIns="0" tIns="0" rIns="68400" bIns="0" anchor="t" anchorCtr="0"/>
                  </wps:wsp>
                </a:graphicData>
              </a:graphic>
            </wp:anchor>
          </w:drawing>
        </mc:Choice>
        <mc:Fallback>
          <w:pict>
            <v:rect id="_x0000_s1027" style="position:absolute;margin-left:289pt;margin-top:155pt;width:214pt;height:1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" stroked="f">
              <v:textbox inset="0,0,1.9mm,0">
                <w:txbxContent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3670300</wp:posOffset>
              </wp:positionH>
              <wp:positionV relativeFrom="paragraph">
                <wp:posOffset>2197100</wp:posOffset>
              </wp:positionV>
              <wp:extent cx="2717800" cy="1270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369" y="3720310"/>
                        <a:ext cx="2715260" cy="119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  <w:p w:rsidR="0033343A" w:rsidRDefault="0033343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lIns="0" tIns="0" rIns="68400" bIns="0" anchor="t" anchorCtr="0"/>
                  </wps:wsp>
                </a:graphicData>
              </a:graphic>
            </wp:anchor>
          </w:drawing>
        </mc:Choice>
        <mc:Fallback>
          <w:pict>
            <v:rect id="_x0000_s1028" style="position:absolute;margin-left:289pt;margin-top:173pt;width:214pt;height:1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" stroked="f">
              <v:textbox inset="0,0,1.9mm,0">
                <w:txbxContent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  <w:p w:rsidR="0033343A" w:rsidRDefault="0033343A">
                    <w:pPr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1663700</wp:posOffset>
              </wp:positionV>
              <wp:extent cx="6248400" cy="4572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6563" y="3552600"/>
                        <a:ext cx="6238874" cy="45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3343A" w:rsidRDefault="00015939">
                          <w:pPr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sz w:val="40"/>
                            </w:rPr>
                            <w:t>Pressemitteilung</w:t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ab/>
                            <w:t xml:space="preserve">  </w:t>
                          </w:r>
                          <w:r>
                            <w:rPr>
                              <w:b/>
                              <w:smallCaps/>
                            </w:rPr>
                            <w:t>September</w:t>
                          </w:r>
                          <w:r w:rsidR="0086390A">
                            <w:rPr>
                              <w:b/>
                              <w:smallCaps/>
                            </w:rPr>
                            <w:t xml:space="preserve"> 2017</w:t>
                          </w:r>
                        </w:p>
                        <w:p w:rsidR="0033343A" w:rsidRDefault="0033343A">
                          <w:pPr>
                            <w:textDirection w:val="btLr"/>
                          </w:pPr>
                        </w:p>
                      </w:txbxContent>
                    </wps:txbx>
                    <wps:bodyPr lIns="0" tIns="0" rIns="68400" bIns="0" anchor="t" anchorCtr="0"/>
                  </wps:wsp>
                </a:graphicData>
              </a:graphic>
            </wp:anchor>
          </w:drawing>
        </mc:Choice>
        <mc:Fallback>
          <w:pict>
            <v:rect id="_x0000_s1029" style="position:absolute;margin-left:0;margin-top:131pt;width:492pt;height:3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" stroked="f">
              <v:textbox inset="0,0,1.9mm,0">
                <w:txbxContent>
                  <w:p w:rsidR="0033343A" w:rsidRDefault="00015939">
                    <w:pPr>
                      <w:textDirection w:val="btLr"/>
                    </w:pPr>
                    <w:r>
                      <w:rPr>
                        <w:b/>
                        <w:smallCaps/>
                        <w:sz w:val="40"/>
                      </w:rPr>
                      <w:t>Pressemitteilung</w:t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</w:r>
                    <w:r>
                      <w:rPr>
                        <w:b/>
                        <w:smallCaps/>
                        <w:sz w:val="40"/>
                      </w:rPr>
                      <w:tab/>
                      <w:t xml:space="preserve">  </w:t>
                    </w:r>
                    <w:r>
                      <w:rPr>
                        <w:b/>
                        <w:smallCaps/>
                      </w:rPr>
                      <w:t>September</w:t>
                    </w:r>
                    <w:r w:rsidR="0086390A">
                      <w:rPr>
                        <w:b/>
                        <w:smallCaps/>
                      </w:rPr>
                      <w:t xml:space="preserve"> 2017</w:t>
                    </w:r>
                  </w:p>
                  <w:p w:rsidR="0033343A" w:rsidRDefault="0033343A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margin">
            <wp:posOffset>4298950</wp:posOffset>
          </wp:positionH>
          <wp:positionV relativeFrom="paragraph">
            <wp:posOffset>540385</wp:posOffset>
          </wp:positionV>
          <wp:extent cx="1868170" cy="54356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17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43A"/>
    <w:rsid w:val="00015939"/>
    <w:rsid w:val="0033343A"/>
    <w:rsid w:val="0086390A"/>
    <w:rsid w:val="00B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85306AE-B694-4AB3-80A6-6F62B26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spacing w:before="100" w:after="100"/>
      <w:outlineLvl w:val="1"/>
    </w:pPr>
    <w:rPr>
      <w:rFonts w:ascii="Times" w:eastAsia="Times" w:hAnsi="Times" w:cs="Times"/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159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5939"/>
  </w:style>
  <w:style w:type="paragraph" w:styleId="Fuzeile">
    <w:name w:val="footer"/>
    <w:basedOn w:val="Standard"/>
    <w:link w:val="FuzeileZchn"/>
    <w:uiPriority w:val="99"/>
    <w:unhideWhenUsed/>
    <w:rsid w:val="000159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adlbeck@eckert-schulen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ckert-schulen.de/ausbildu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sbildung@eckert-schule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Johannes</dc:creator>
  <cp:lastModifiedBy>Müller Johannes</cp:lastModifiedBy>
  <cp:revision>4</cp:revision>
  <cp:lastPrinted>2017-09-05T06:40:00Z</cp:lastPrinted>
  <dcterms:created xsi:type="dcterms:W3CDTF">2017-09-05T06:38:00Z</dcterms:created>
  <dcterms:modified xsi:type="dcterms:W3CDTF">2017-09-05T06:40:00Z</dcterms:modified>
</cp:coreProperties>
</file>